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ind w:left="237"/>
        <w:rPr>
          <w:rFonts w:ascii="Times New Roman"/>
          <w:b w:val="0"/>
          <w:sz w:val="20"/>
        </w:rPr>
      </w:pPr>
      <w:r>
        <w:rPr>
          <w:noProof/>
        </w:rPr>
        <w:drawing>
          <wp:anchor distT="0" distB="0" distL="114300" distR="114300" simplePos="0" relativeHeight="251659264" behindDoc="1" locked="0" layoutInCell="1" allowOverlap="1">
            <wp:simplePos x="0" y="0"/>
            <wp:positionH relativeFrom="margin">
              <wp:posOffset>-65405</wp:posOffset>
            </wp:positionH>
            <wp:positionV relativeFrom="paragraph">
              <wp:posOffset>635</wp:posOffset>
            </wp:positionV>
            <wp:extent cx="1029970" cy="930910"/>
            <wp:effectExtent l="0" t="0" r="0" b="2540"/>
            <wp:wrapThrough wrapText="bothSides">
              <wp:wrapPolygon edited="0">
                <wp:start x="0" y="0"/>
                <wp:lineTo x="0" y="21217"/>
                <wp:lineTo x="21174" y="21217"/>
                <wp:lineTo x="21174"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9970" cy="930910"/>
                    </a:xfrm>
                    <a:prstGeom prst="rect">
                      <a:avLst/>
                    </a:prstGeom>
                  </pic:spPr>
                </pic:pic>
              </a:graphicData>
            </a:graphic>
            <wp14:sizeRelH relativeFrom="margin">
              <wp14:pctWidth>0</wp14:pctWidth>
            </wp14:sizeRelH>
            <wp14:sizeRelV relativeFrom="margin">
              <wp14:pctHeight>0</wp14:pctHeight>
            </wp14:sizeRelV>
          </wp:anchor>
        </w:drawing>
      </w: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jc w:val="center"/>
        <w:rPr>
          <w:rFonts w:ascii="Times New Roman"/>
          <w:b w:val="0"/>
          <w:sz w:val="20"/>
        </w:rPr>
      </w:pPr>
    </w:p>
    <w:p>
      <w:pPr>
        <w:pStyle w:val="Corpsdetexte"/>
        <w:spacing w:before="47" w:line="278" w:lineRule="auto"/>
        <w:ind w:left="1094" w:right="722" w:firstLine="681"/>
        <w:jc w:val="center"/>
      </w:pPr>
      <w:r>
        <w:t xml:space="preserve">ANNEXE AU REGLEMENT DE CONSULTATION </w:t>
      </w:r>
    </w:p>
    <w:p>
      <w:pPr>
        <w:pStyle w:val="Corpsdetexte"/>
        <w:spacing w:before="47" w:line="278" w:lineRule="auto"/>
        <w:ind w:left="1094" w:right="722" w:firstLine="681"/>
        <w:jc w:val="center"/>
      </w:pPr>
      <w:r>
        <w:t>DGAFP-5DAS-2026-01-AIP</w:t>
      </w:r>
    </w:p>
    <w:p>
      <w:pPr>
        <w:pStyle w:val="Corpsdetexte"/>
        <w:spacing w:before="47" w:line="278" w:lineRule="auto"/>
        <w:ind w:left="1094" w:right="722" w:firstLine="681"/>
        <w:jc w:val="center"/>
      </w:pPr>
    </w:p>
    <w:p>
      <w:pPr>
        <w:pStyle w:val="Corpsdetexte"/>
        <w:spacing w:before="47" w:line="278" w:lineRule="auto"/>
        <w:ind w:left="1094" w:right="722" w:firstLine="681"/>
        <w:jc w:val="center"/>
      </w:pPr>
      <w:r>
        <w:t>GESTION</w:t>
      </w:r>
      <w:r>
        <w:rPr>
          <w:spacing w:val="-5"/>
        </w:rPr>
        <w:t xml:space="preserve"> </w:t>
      </w:r>
      <w:r>
        <w:t>DE</w:t>
      </w:r>
      <w:r>
        <w:rPr>
          <w:spacing w:val="-5"/>
        </w:rPr>
        <w:t xml:space="preserve"> </w:t>
      </w:r>
      <w:r>
        <w:t>CERTAINS</w:t>
      </w:r>
      <w:r>
        <w:rPr>
          <w:spacing w:val="-3"/>
        </w:rPr>
        <w:t xml:space="preserve"> </w:t>
      </w:r>
      <w:r>
        <w:t>ASPECTS</w:t>
      </w:r>
      <w:r>
        <w:rPr>
          <w:spacing w:val="-5"/>
        </w:rPr>
        <w:t xml:space="preserve"> </w:t>
      </w:r>
      <w:r>
        <w:t>DU</w:t>
      </w:r>
      <w:r>
        <w:rPr>
          <w:spacing w:val="-5"/>
        </w:rPr>
        <w:t xml:space="preserve"> </w:t>
      </w:r>
      <w:r>
        <w:t>DISPOSITIF</w:t>
      </w:r>
      <w:r>
        <w:rPr>
          <w:spacing w:val="-5"/>
        </w:rPr>
        <w:t xml:space="preserve"> </w:t>
      </w:r>
      <w:r>
        <w:t>AIP</w:t>
      </w:r>
    </w:p>
    <w:p>
      <w:pPr>
        <w:pStyle w:val="Corpsdetexte"/>
        <w:spacing w:before="115"/>
        <w:ind w:left="3470"/>
        <w:rPr>
          <w:spacing w:val="-2"/>
          <w:u w:val="single"/>
        </w:rPr>
      </w:pPr>
      <w:r>
        <w:rPr>
          <w:u w:val="single"/>
        </w:rPr>
        <w:t>CADRE</w:t>
      </w:r>
      <w:r>
        <w:rPr>
          <w:spacing w:val="-5"/>
          <w:u w:val="single"/>
        </w:rPr>
        <w:t xml:space="preserve"> </w:t>
      </w:r>
      <w:r>
        <w:rPr>
          <w:u w:val="single"/>
        </w:rPr>
        <w:t>DE</w:t>
      </w:r>
      <w:r>
        <w:rPr>
          <w:spacing w:val="-5"/>
          <w:u w:val="single"/>
        </w:rPr>
        <w:t xml:space="preserve"> </w:t>
      </w:r>
      <w:r>
        <w:rPr>
          <w:u w:val="single"/>
        </w:rPr>
        <w:t>REPONSE</w:t>
      </w:r>
      <w:r>
        <w:rPr>
          <w:spacing w:val="-5"/>
          <w:u w:val="single"/>
        </w:rPr>
        <w:t xml:space="preserve"> </w:t>
      </w:r>
      <w:r>
        <w:rPr>
          <w:spacing w:val="-2"/>
          <w:u w:val="single"/>
        </w:rPr>
        <w:t>TECHNIQUE LOT 2</w:t>
      </w:r>
    </w:p>
    <w:p>
      <w:pPr>
        <w:pStyle w:val="Corpsdetexte"/>
        <w:spacing w:before="115"/>
        <w:ind w:left="3470"/>
        <w:rPr>
          <w:spacing w:val="-2"/>
          <w:u w:val="single"/>
        </w:rPr>
      </w:pPr>
    </w:p>
    <w:p>
      <w:pPr>
        <w:pStyle w:val="Corpsdetexte"/>
        <w:spacing w:before="115"/>
        <w:rPr>
          <w:spacing w:val="-2"/>
          <w:u w:val="single"/>
        </w:rPr>
      </w:pPr>
    </w:p>
    <w:p>
      <w:pPr>
        <w:pStyle w:val="NormalWeb"/>
        <w:pBdr>
          <w:top w:val="single" w:sz="4" w:space="1" w:color="auto"/>
          <w:left w:val="single" w:sz="4" w:space="4" w:color="auto"/>
          <w:bottom w:val="single" w:sz="4" w:space="1" w:color="auto"/>
          <w:right w:val="single" w:sz="4" w:space="4" w:color="auto"/>
        </w:pBdr>
        <w:jc w:val="center"/>
        <w:rPr>
          <w:rStyle w:val="lev"/>
          <w:rFonts w:ascii="Marianne" w:hAnsi="Marianne" w:cstheme="minorHAnsi"/>
          <w:sz w:val="20"/>
          <w:szCs w:val="20"/>
          <w:lang w:eastAsia="en-US"/>
        </w:rPr>
      </w:pPr>
      <w:r>
        <w:rPr>
          <w:rStyle w:val="lev"/>
          <w:rFonts w:ascii="Marianne" w:hAnsi="Marianne" w:cstheme="minorHAnsi"/>
          <w:sz w:val="20"/>
          <w:szCs w:val="20"/>
          <w:lang w:eastAsia="en-US"/>
        </w:rPr>
        <w:t>AVERTISSEMENTS :</w:t>
      </w:r>
    </w:p>
    <w:p>
      <w:pPr>
        <w:pStyle w:val="NormalWeb"/>
        <w:pBdr>
          <w:top w:val="single" w:sz="4" w:space="1" w:color="auto"/>
          <w:left w:val="single" w:sz="4" w:space="4" w:color="auto"/>
          <w:bottom w:val="single" w:sz="4" w:space="1" w:color="auto"/>
          <w:right w:val="single" w:sz="4" w:space="4" w:color="auto"/>
        </w:pBdr>
        <w:jc w:val="both"/>
        <w:rPr>
          <w:rFonts w:ascii="Marianne" w:hAnsi="Marianne"/>
          <w:sz w:val="20"/>
          <w:szCs w:val="20"/>
        </w:rPr>
      </w:pPr>
      <w:r>
        <w:rPr>
          <w:rFonts w:ascii="Marianne" w:hAnsi="Marianne" w:cstheme="minorHAnsi"/>
          <w:b/>
          <w:bCs/>
          <w:sz w:val="20"/>
          <w:szCs w:val="20"/>
          <w:lang w:eastAsia="en-US"/>
        </w:rPr>
        <w:t>Toute société candidate à l’accord-cadre est tenue de compléter le cadre de réponse technique et environnemental.</w:t>
      </w:r>
    </w:p>
    <w:p>
      <w:pPr>
        <w:pStyle w:val="NormalWeb"/>
        <w:pBdr>
          <w:top w:val="single" w:sz="4" w:space="1" w:color="auto"/>
          <w:left w:val="single" w:sz="4" w:space="4" w:color="auto"/>
          <w:bottom w:val="single" w:sz="4" w:space="1" w:color="auto"/>
          <w:right w:val="single" w:sz="4" w:space="4" w:color="auto"/>
        </w:pBdr>
        <w:jc w:val="both"/>
        <w:rPr>
          <w:rFonts w:ascii="Marianne" w:hAnsi="Marianne" w:cstheme="minorHAnsi"/>
          <w:sz w:val="20"/>
          <w:szCs w:val="20"/>
          <w:lang w:eastAsia="en-US"/>
        </w:rPr>
      </w:pPr>
      <w:r>
        <w:rPr>
          <w:rFonts w:ascii="Marianne" w:hAnsi="Marianne" w:cstheme="minorHAnsi"/>
          <w:sz w:val="20"/>
          <w:szCs w:val="20"/>
          <w:lang w:eastAsia="en-US"/>
        </w:rPr>
        <w:t>Toute documentation commerciale généraliste ou à visée publicitaire est proscrite de l’offre technique du candidat.</w:t>
      </w:r>
    </w:p>
    <w:p>
      <w:pPr>
        <w:pStyle w:val="NormalWeb"/>
        <w:pBdr>
          <w:top w:val="single" w:sz="4" w:space="1" w:color="auto"/>
          <w:left w:val="single" w:sz="4" w:space="4" w:color="auto"/>
          <w:bottom w:val="single" w:sz="4" w:space="1" w:color="auto"/>
          <w:right w:val="single" w:sz="4" w:space="4" w:color="auto"/>
        </w:pBdr>
        <w:jc w:val="both"/>
        <w:rPr>
          <w:rFonts w:ascii="Marianne" w:hAnsi="Marianne" w:cstheme="minorHAnsi"/>
          <w:sz w:val="20"/>
          <w:szCs w:val="20"/>
          <w:lang w:eastAsia="en-US"/>
        </w:rPr>
      </w:pPr>
      <w:r>
        <w:rPr>
          <w:rFonts w:ascii="Marianne" w:hAnsi="Marianne" w:cstheme="minorHAnsi"/>
          <w:sz w:val="20"/>
          <w:szCs w:val="20"/>
          <w:lang w:eastAsia="en-US"/>
        </w:rPr>
        <w:t>L’offre technique du candidat doit prendre en compte les éléments du cahier des clauses techniques particulières (CCTP) dans leur intégralité.</w:t>
      </w:r>
    </w:p>
    <w:p>
      <w:pPr>
        <w:pStyle w:val="NormalWeb"/>
        <w:pBdr>
          <w:top w:val="single" w:sz="4" w:space="1" w:color="auto"/>
          <w:left w:val="single" w:sz="4" w:space="4" w:color="auto"/>
          <w:bottom w:val="single" w:sz="4" w:space="1" w:color="auto"/>
          <w:right w:val="single" w:sz="4" w:space="4" w:color="auto"/>
        </w:pBdr>
        <w:jc w:val="both"/>
        <w:rPr>
          <w:rFonts w:ascii="Marianne" w:hAnsi="Marianne" w:cstheme="minorHAnsi"/>
          <w:sz w:val="20"/>
          <w:szCs w:val="20"/>
          <w:lang w:eastAsia="en-US"/>
        </w:rPr>
      </w:pPr>
      <w:r>
        <w:rPr>
          <w:rFonts w:ascii="Marianne" w:hAnsi="Marianne" w:cstheme="minorHAnsi"/>
          <w:sz w:val="20"/>
          <w:szCs w:val="20"/>
          <w:lang w:eastAsia="en-US"/>
        </w:rPr>
        <w:t>Le cadre de réponse technique et environnemental (CRTE) intégralement renseigné par le candidat complète et précise, sans y contrevenir, le CCTP. Il permet au candidat d’établir la qualité de son offre et l’adéquation de cette dernière aux exigences de l’accord-cadre sur les plans fonctionnel, organisationnel et technique. De manière générale, le CRTE intégralement renseigné comprend tous les éléments nécessaires à l’acheteur pour évaluer la qualité technique de l’offre conformément aux critères de sélection fixés par le règlement de la consultation. Une attention particulière sera portée à la clarté de la présentation (éviter le jargon technique ou les anglicismes) ainsi qu’à la capacité de synthèse et à la pertinence des contenus.</w:t>
      </w:r>
    </w:p>
    <w:p>
      <w:pPr>
        <w:pStyle w:val="NormalWeb"/>
        <w:pBdr>
          <w:top w:val="single" w:sz="4" w:space="1" w:color="auto"/>
          <w:left w:val="single" w:sz="4" w:space="4" w:color="auto"/>
          <w:bottom w:val="single" w:sz="4" w:space="1" w:color="auto"/>
          <w:right w:val="single" w:sz="4" w:space="4" w:color="auto"/>
        </w:pBdr>
        <w:jc w:val="both"/>
        <w:rPr>
          <w:rFonts w:ascii="Marianne" w:hAnsi="Marianne" w:cstheme="minorHAnsi"/>
          <w:sz w:val="20"/>
          <w:szCs w:val="20"/>
          <w:lang w:eastAsia="en-US"/>
        </w:rPr>
      </w:pPr>
      <w:r>
        <w:rPr>
          <w:rFonts w:ascii="Marianne" w:hAnsi="Marianne" w:cstheme="minorHAnsi"/>
          <w:sz w:val="20"/>
          <w:szCs w:val="20"/>
          <w:lang w:eastAsia="en-US"/>
        </w:rPr>
        <w:t>L’offre technique doit respecter le plan fixé par le CRTE (chaque paragraphe de l’offre précise le paragraphe du CRTE auquel il se rapporte). Elle développe au moins les points détaillés dans le présent CRTE. Le candidat peut choisir d'ajouter des sous-parties complémentaires enrichissant la réponse fournie.</w:t>
      </w:r>
      <w:r>
        <w:rPr>
          <w:rFonts w:ascii="Marianne" w:hAnsi="Marianne"/>
          <w:sz w:val="20"/>
          <w:szCs w:val="20"/>
          <w:lang w:eastAsia="en-US"/>
        </w:rPr>
        <w:t xml:space="preserve"> </w:t>
      </w:r>
      <w:r>
        <w:rPr>
          <w:rFonts w:ascii="Marianne" w:hAnsi="Marianne" w:cstheme="minorHAnsi"/>
          <w:sz w:val="20"/>
          <w:szCs w:val="20"/>
          <w:lang w:eastAsia="en-US"/>
        </w:rPr>
        <w:t>Toute offre reçue en dehors de ce cadre sera jugée irrégulière.</w:t>
      </w:r>
    </w:p>
    <w:p>
      <w:pPr>
        <w:pStyle w:val="Corpsdetexte"/>
        <w:spacing w:before="115"/>
        <w:rPr>
          <w:rFonts w:ascii="Marianne" w:hAnsi="Marianne"/>
          <w:spacing w:val="-2"/>
          <w:sz w:val="20"/>
          <w:szCs w:val="20"/>
          <w:u w:val="single"/>
        </w:rPr>
      </w:pPr>
    </w:p>
    <w:p>
      <w:pPr>
        <w:pStyle w:val="Corpsdetexte"/>
        <w:spacing w:before="115"/>
        <w:rPr>
          <w:rFonts w:ascii="Marianne" w:hAnsi="Marianne"/>
          <w:spacing w:val="-2"/>
          <w:sz w:val="20"/>
          <w:szCs w:val="20"/>
          <w:u w:val="single"/>
        </w:rPr>
      </w:pPr>
    </w:p>
    <w:p>
      <w:pPr>
        <w:pStyle w:val="Corpsdetexte"/>
        <w:spacing w:before="115"/>
        <w:rPr>
          <w:rFonts w:ascii="Marianne" w:hAnsi="Marianne"/>
          <w:spacing w:val="-2"/>
          <w:sz w:val="20"/>
          <w:szCs w:val="20"/>
          <w:u w:val="single"/>
        </w:rPr>
      </w:pPr>
    </w:p>
    <w:p>
      <w:pPr>
        <w:pStyle w:val="Corpsdetexte"/>
        <w:spacing w:before="115"/>
        <w:rPr>
          <w:rFonts w:ascii="Marianne" w:hAnsi="Marianne"/>
          <w:spacing w:val="-2"/>
          <w:sz w:val="20"/>
          <w:szCs w:val="20"/>
          <w:u w:val="single"/>
        </w:rPr>
      </w:pPr>
    </w:p>
    <w:p>
      <w:pPr>
        <w:pStyle w:val="Corpsdetexte"/>
        <w:spacing w:before="115"/>
        <w:rPr>
          <w:rFonts w:ascii="Marianne" w:hAnsi="Marianne"/>
          <w:spacing w:val="-2"/>
          <w:sz w:val="20"/>
          <w:szCs w:val="20"/>
          <w:u w:val="single"/>
        </w:rPr>
      </w:pPr>
    </w:p>
    <w:p>
      <w:pPr>
        <w:pStyle w:val="Corpsdetexte"/>
        <w:spacing w:before="115"/>
        <w:rPr>
          <w:rFonts w:ascii="Marianne" w:hAnsi="Marianne"/>
          <w:spacing w:val="-2"/>
          <w:sz w:val="20"/>
          <w:szCs w:val="20"/>
          <w:u w:val="single"/>
        </w:rPr>
      </w:pPr>
    </w:p>
    <w:p>
      <w:pPr>
        <w:pStyle w:val="Corpsdetexte"/>
        <w:spacing w:before="115"/>
        <w:rPr>
          <w:rFonts w:ascii="Marianne" w:hAnsi="Marianne"/>
          <w:spacing w:val="-2"/>
          <w:sz w:val="20"/>
          <w:szCs w:val="20"/>
          <w:u w:val="single"/>
        </w:rPr>
      </w:pPr>
    </w:p>
    <w:p>
      <w:pPr>
        <w:pStyle w:val="Corpsdetexte"/>
        <w:spacing w:before="115"/>
        <w:rPr>
          <w:rFonts w:ascii="Marianne" w:hAnsi="Marianne"/>
          <w:spacing w:val="-2"/>
          <w:sz w:val="20"/>
          <w:szCs w:val="20"/>
          <w:u w:val="single"/>
        </w:rPr>
      </w:pPr>
    </w:p>
    <w:p>
      <w:pPr>
        <w:pStyle w:val="Corpsdetexte"/>
        <w:spacing w:before="115"/>
        <w:rPr>
          <w:spacing w:val="-2"/>
          <w:u w:val="single"/>
        </w:rPr>
      </w:pPr>
    </w:p>
    <w:p>
      <w:pPr>
        <w:pStyle w:val="Corpsdetexte"/>
        <w:spacing w:before="115"/>
        <w:rPr>
          <w:spacing w:val="-2"/>
          <w:u w:val="single"/>
        </w:rPr>
      </w:pPr>
    </w:p>
    <w:tbl>
      <w:tblPr>
        <w:tblStyle w:val="TableNormal"/>
        <w:tblW w:w="10742"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30"/>
        <w:gridCol w:w="12"/>
      </w:tblGrid>
      <w:tr>
        <w:trPr>
          <w:gridAfter w:val="1"/>
          <w:wAfter w:w="12" w:type="dxa"/>
          <w:trHeight w:val="886"/>
        </w:trPr>
        <w:tc>
          <w:tcPr>
            <w:tcW w:w="10730" w:type="dxa"/>
          </w:tcPr>
          <w:p>
            <w:pPr>
              <w:pStyle w:val="TableParagraph"/>
              <w:spacing w:before="114"/>
              <w:ind w:left="107"/>
              <w:jc w:val="both"/>
              <w:rPr>
                <w:rFonts w:ascii="Marianne" w:hAnsi="Marianne"/>
                <w:b/>
                <w:sz w:val="20"/>
                <w:u w:val="single"/>
              </w:rPr>
            </w:pPr>
            <w:r>
              <w:rPr>
                <w:rFonts w:ascii="Marianne" w:hAnsi="Marianne"/>
                <w:b/>
                <w:sz w:val="20"/>
                <w:u w:val="single"/>
              </w:rPr>
              <w:lastRenderedPageBreak/>
              <w:t>Critère prix : 40%, en lien avec le DQE</w:t>
            </w:r>
          </w:p>
        </w:tc>
      </w:tr>
      <w:tr>
        <w:trPr>
          <w:trHeight w:val="1522"/>
        </w:trPr>
        <w:tc>
          <w:tcPr>
            <w:tcW w:w="10742" w:type="dxa"/>
            <w:gridSpan w:val="2"/>
          </w:tcPr>
          <w:p>
            <w:pPr>
              <w:pStyle w:val="TableParagraph"/>
              <w:spacing w:before="114"/>
              <w:ind w:left="107"/>
              <w:jc w:val="both"/>
              <w:rPr>
                <w:rFonts w:ascii="Marianne" w:hAnsi="Marianne"/>
                <w:b/>
                <w:spacing w:val="-2"/>
                <w:sz w:val="20"/>
                <w:u w:val="single"/>
              </w:rPr>
            </w:pPr>
            <w:r>
              <w:rPr>
                <w:rFonts w:ascii="Marianne" w:hAnsi="Marianne"/>
                <w:b/>
                <w:sz w:val="20"/>
                <w:u w:val="single"/>
              </w:rPr>
              <w:t>Critère</w:t>
            </w:r>
            <w:r>
              <w:rPr>
                <w:rFonts w:ascii="Marianne" w:hAnsi="Marianne"/>
                <w:b/>
                <w:spacing w:val="-9"/>
                <w:sz w:val="20"/>
                <w:u w:val="single"/>
              </w:rPr>
              <w:t xml:space="preserve"> </w:t>
            </w:r>
            <w:r>
              <w:rPr>
                <w:rFonts w:ascii="Marianne" w:hAnsi="Marianne"/>
                <w:b/>
                <w:sz w:val="20"/>
                <w:u w:val="single"/>
              </w:rPr>
              <w:t>technique</w:t>
            </w:r>
            <w:r>
              <w:rPr>
                <w:rFonts w:ascii="Marianne" w:hAnsi="Marianne"/>
                <w:b/>
                <w:spacing w:val="-6"/>
                <w:sz w:val="20"/>
                <w:u w:val="single"/>
              </w:rPr>
              <w:t xml:space="preserve"> (50%)</w:t>
            </w:r>
            <w:r>
              <w:rPr>
                <w:rFonts w:ascii="Marianne" w:hAnsi="Marianne"/>
                <w:b/>
                <w:spacing w:val="-6"/>
                <w:sz w:val="20"/>
              </w:rPr>
              <w:t xml:space="preserve"> </w:t>
            </w:r>
            <w:r>
              <w:rPr>
                <w:rFonts w:ascii="Marianne" w:hAnsi="Marianne"/>
                <w:b/>
                <w:spacing w:val="-10"/>
                <w:sz w:val="20"/>
              </w:rPr>
              <w:t>:</w:t>
            </w:r>
            <w:r>
              <w:rPr>
                <w:rFonts w:ascii="Marianne" w:hAnsi="Marianne"/>
                <w:b/>
                <w:sz w:val="20"/>
              </w:rPr>
              <w:t xml:space="preserve"> </w:t>
            </w:r>
            <w:r>
              <w:rPr>
                <w:rFonts w:ascii="Marianne" w:hAnsi="Marianne"/>
                <w:b/>
                <w:sz w:val="20"/>
                <w:u w:val="single"/>
              </w:rPr>
              <w:t>Organisation</w:t>
            </w:r>
            <w:r>
              <w:rPr>
                <w:rFonts w:ascii="Marianne" w:hAnsi="Marianne"/>
                <w:b/>
                <w:spacing w:val="-5"/>
                <w:sz w:val="20"/>
                <w:u w:val="single"/>
              </w:rPr>
              <w:t xml:space="preserve"> </w:t>
            </w:r>
            <w:r>
              <w:rPr>
                <w:rFonts w:ascii="Marianne" w:hAnsi="Marianne"/>
                <w:b/>
                <w:sz w:val="20"/>
                <w:u w:val="single"/>
              </w:rPr>
              <w:t>et</w:t>
            </w:r>
            <w:r>
              <w:rPr>
                <w:rFonts w:ascii="Marianne" w:hAnsi="Marianne"/>
                <w:b/>
                <w:spacing w:val="-8"/>
                <w:sz w:val="20"/>
                <w:u w:val="single"/>
              </w:rPr>
              <w:t xml:space="preserve"> </w:t>
            </w:r>
            <w:r>
              <w:rPr>
                <w:rFonts w:ascii="Marianne" w:hAnsi="Marianne"/>
                <w:b/>
                <w:sz w:val="20"/>
                <w:u w:val="single"/>
              </w:rPr>
              <w:t>méthodologie</w:t>
            </w:r>
            <w:r>
              <w:rPr>
                <w:rFonts w:ascii="Marianne" w:hAnsi="Marianne"/>
                <w:b/>
                <w:spacing w:val="-9"/>
                <w:sz w:val="20"/>
                <w:u w:val="single"/>
              </w:rPr>
              <w:t xml:space="preserve"> </w:t>
            </w:r>
            <w:r>
              <w:rPr>
                <w:rFonts w:ascii="Marianne" w:hAnsi="Marianne"/>
                <w:b/>
                <w:sz w:val="20"/>
                <w:u w:val="single"/>
              </w:rPr>
              <w:t>mises</w:t>
            </w:r>
            <w:r>
              <w:rPr>
                <w:rFonts w:ascii="Marianne" w:hAnsi="Marianne"/>
                <w:b/>
                <w:spacing w:val="-7"/>
                <w:sz w:val="20"/>
                <w:u w:val="single"/>
              </w:rPr>
              <w:t xml:space="preserve"> </w:t>
            </w:r>
            <w:r>
              <w:rPr>
                <w:rFonts w:ascii="Marianne" w:hAnsi="Marianne"/>
                <w:b/>
                <w:sz w:val="20"/>
                <w:u w:val="single"/>
              </w:rPr>
              <w:t>en</w:t>
            </w:r>
            <w:r>
              <w:rPr>
                <w:rFonts w:ascii="Marianne" w:hAnsi="Marianne"/>
                <w:b/>
                <w:spacing w:val="-7"/>
                <w:sz w:val="20"/>
                <w:u w:val="single"/>
              </w:rPr>
              <w:t xml:space="preserve"> </w:t>
            </w:r>
            <w:r>
              <w:rPr>
                <w:rFonts w:ascii="Marianne" w:hAnsi="Marianne"/>
                <w:b/>
                <w:sz w:val="20"/>
                <w:u w:val="single"/>
              </w:rPr>
              <w:t>place</w:t>
            </w:r>
            <w:r>
              <w:rPr>
                <w:rFonts w:ascii="Marianne" w:hAnsi="Marianne"/>
                <w:b/>
                <w:spacing w:val="-6"/>
                <w:sz w:val="20"/>
                <w:u w:val="single"/>
              </w:rPr>
              <w:t xml:space="preserve"> </w:t>
            </w:r>
            <w:r>
              <w:rPr>
                <w:rFonts w:ascii="Marianne" w:hAnsi="Marianne"/>
                <w:b/>
                <w:sz w:val="20"/>
                <w:u w:val="single"/>
              </w:rPr>
              <w:t>pour</w:t>
            </w:r>
            <w:r>
              <w:rPr>
                <w:rFonts w:ascii="Marianne" w:hAnsi="Marianne"/>
                <w:b/>
                <w:spacing w:val="-6"/>
                <w:sz w:val="20"/>
                <w:u w:val="single"/>
              </w:rPr>
              <w:t xml:space="preserve"> </w:t>
            </w:r>
            <w:r>
              <w:rPr>
                <w:rFonts w:ascii="Marianne" w:hAnsi="Marianne"/>
                <w:b/>
                <w:sz w:val="20"/>
                <w:u w:val="single"/>
              </w:rPr>
              <w:t>garantir</w:t>
            </w:r>
            <w:r>
              <w:rPr>
                <w:rFonts w:ascii="Marianne" w:hAnsi="Marianne"/>
                <w:b/>
                <w:spacing w:val="-6"/>
                <w:sz w:val="20"/>
                <w:u w:val="single"/>
              </w:rPr>
              <w:t xml:space="preserve"> </w:t>
            </w:r>
            <w:r>
              <w:rPr>
                <w:rFonts w:ascii="Marianne" w:hAnsi="Marianne"/>
                <w:b/>
                <w:sz w:val="20"/>
                <w:u w:val="single"/>
              </w:rPr>
              <w:t>la</w:t>
            </w:r>
            <w:r>
              <w:rPr>
                <w:rFonts w:ascii="Marianne" w:hAnsi="Marianne"/>
                <w:b/>
                <w:spacing w:val="-9"/>
                <w:sz w:val="20"/>
                <w:u w:val="single"/>
              </w:rPr>
              <w:t xml:space="preserve"> </w:t>
            </w:r>
            <w:r>
              <w:rPr>
                <w:rFonts w:ascii="Marianne" w:hAnsi="Marianne"/>
                <w:b/>
                <w:sz w:val="20"/>
                <w:u w:val="single"/>
              </w:rPr>
              <w:t>bonne</w:t>
            </w:r>
            <w:r>
              <w:rPr>
                <w:rFonts w:ascii="Marianne" w:hAnsi="Marianne"/>
                <w:b/>
                <w:spacing w:val="-6"/>
                <w:sz w:val="20"/>
                <w:u w:val="single"/>
              </w:rPr>
              <w:t xml:space="preserve"> </w:t>
            </w:r>
            <w:r>
              <w:rPr>
                <w:rFonts w:ascii="Marianne" w:hAnsi="Marianne"/>
                <w:b/>
                <w:sz w:val="20"/>
                <w:u w:val="single"/>
              </w:rPr>
              <w:t>exécution</w:t>
            </w:r>
            <w:r>
              <w:rPr>
                <w:rFonts w:ascii="Marianne" w:hAnsi="Marianne"/>
                <w:b/>
                <w:spacing w:val="-7"/>
                <w:sz w:val="20"/>
                <w:u w:val="single"/>
              </w:rPr>
              <w:t xml:space="preserve"> </w:t>
            </w:r>
            <w:r>
              <w:rPr>
                <w:rFonts w:ascii="Marianne" w:hAnsi="Marianne"/>
                <w:b/>
                <w:sz w:val="20"/>
                <w:u w:val="single"/>
              </w:rPr>
              <w:t>des</w:t>
            </w:r>
            <w:r>
              <w:rPr>
                <w:rFonts w:ascii="Marianne" w:hAnsi="Marianne"/>
                <w:b/>
                <w:spacing w:val="-7"/>
                <w:sz w:val="20"/>
                <w:u w:val="single"/>
              </w:rPr>
              <w:t xml:space="preserve"> </w:t>
            </w:r>
            <w:r>
              <w:rPr>
                <w:rFonts w:ascii="Marianne" w:hAnsi="Marianne"/>
                <w:b/>
                <w:spacing w:val="-2"/>
                <w:sz w:val="20"/>
                <w:u w:val="single"/>
              </w:rPr>
              <w:t>prestations</w:t>
            </w:r>
          </w:p>
          <w:p>
            <w:pPr>
              <w:pStyle w:val="TableParagraph"/>
              <w:spacing w:before="1"/>
              <w:jc w:val="both"/>
              <w:rPr>
                <w:rFonts w:ascii="Marianne" w:hAnsi="Marianne"/>
                <w:b/>
                <w:sz w:val="20"/>
              </w:rPr>
            </w:pPr>
          </w:p>
          <w:p>
            <w:pPr>
              <w:pStyle w:val="TableParagraph"/>
              <w:ind w:left="107"/>
              <w:jc w:val="both"/>
              <w:rPr>
                <w:rFonts w:ascii="Marianne" w:hAnsi="Marianne"/>
                <w:i/>
                <w:spacing w:val="-2"/>
                <w:sz w:val="20"/>
              </w:rPr>
            </w:pPr>
            <w:r>
              <w:rPr>
                <w:rFonts w:ascii="Marianne" w:hAnsi="Marianne"/>
                <w:sz w:val="20"/>
              </w:rPr>
              <w:t>Le</w:t>
            </w:r>
            <w:r>
              <w:rPr>
                <w:rFonts w:ascii="Marianne" w:hAnsi="Marianne"/>
                <w:spacing w:val="-10"/>
                <w:sz w:val="20"/>
              </w:rPr>
              <w:t xml:space="preserve"> </w:t>
            </w:r>
            <w:r>
              <w:rPr>
                <w:rFonts w:ascii="Marianne" w:hAnsi="Marianne"/>
                <w:sz w:val="20"/>
              </w:rPr>
              <w:t>soumissionnaire</w:t>
            </w:r>
            <w:r>
              <w:rPr>
                <w:rFonts w:ascii="Marianne" w:hAnsi="Marianne"/>
                <w:spacing w:val="-9"/>
                <w:sz w:val="20"/>
              </w:rPr>
              <w:t xml:space="preserve"> </w:t>
            </w:r>
            <w:r>
              <w:rPr>
                <w:rFonts w:ascii="Marianne" w:hAnsi="Marianne"/>
                <w:sz w:val="20"/>
              </w:rPr>
              <w:t>fournit</w:t>
            </w:r>
            <w:r>
              <w:rPr>
                <w:rFonts w:ascii="Marianne" w:hAnsi="Marianne"/>
                <w:spacing w:val="-8"/>
                <w:sz w:val="20"/>
              </w:rPr>
              <w:t xml:space="preserve"> </w:t>
            </w:r>
            <w:r>
              <w:rPr>
                <w:rFonts w:ascii="Marianne" w:hAnsi="Marianne"/>
                <w:sz w:val="20"/>
              </w:rPr>
              <w:t>toutes</w:t>
            </w:r>
            <w:r>
              <w:rPr>
                <w:rFonts w:ascii="Marianne" w:hAnsi="Marianne"/>
                <w:spacing w:val="-6"/>
                <w:sz w:val="20"/>
              </w:rPr>
              <w:t xml:space="preserve"> </w:t>
            </w:r>
            <w:r>
              <w:rPr>
                <w:rFonts w:ascii="Marianne" w:hAnsi="Marianne"/>
                <w:sz w:val="20"/>
              </w:rPr>
              <w:t>les</w:t>
            </w:r>
            <w:r>
              <w:rPr>
                <w:rFonts w:ascii="Marianne" w:hAnsi="Marianne"/>
                <w:spacing w:val="-8"/>
                <w:sz w:val="20"/>
              </w:rPr>
              <w:t xml:space="preserve"> </w:t>
            </w:r>
            <w:r>
              <w:rPr>
                <w:rFonts w:ascii="Marianne" w:hAnsi="Marianne"/>
                <w:sz w:val="20"/>
              </w:rPr>
              <w:t>informations</w:t>
            </w:r>
            <w:r>
              <w:rPr>
                <w:rFonts w:ascii="Marianne" w:hAnsi="Marianne"/>
                <w:spacing w:val="-8"/>
                <w:sz w:val="20"/>
              </w:rPr>
              <w:t xml:space="preserve"> </w:t>
            </w:r>
            <w:r>
              <w:rPr>
                <w:rFonts w:ascii="Marianne" w:hAnsi="Marianne"/>
                <w:sz w:val="20"/>
              </w:rPr>
              <w:t>utiles</w:t>
            </w:r>
            <w:r>
              <w:rPr>
                <w:rFonts w:ascii="Marianne" w:hAnsi="Marianne"/>
                <w:spacing w:val="-7"/>
                <w:sz w:val="20"/>
              </w:rPr>
              <w:t xml:space="preserve"> </w:t>
            </w:r>
            <w:r>
              <w:rPr>
                <w:rFonts w:ascii="Marianne" w:hAnsi="Marianne"/>
                <w:sz w:val="20"/>
              </w:rPr>
              <w:t>sur</w:t>
            </w:r>
            <w:r>
              <w:rPr>
                <w:rFonts w:ascii="Marianne" w:hAnsi="Marianne"/>
                <w:spacing w:val="-9"/>
                <w:sz w:val="20"/>
              </w:rPr>
              <w:t xml:space="preserve"> </w:t>
            </w:r>
            <w:r>
              <w:rPr>
                <w:rFonts w:ascii="Marianne" w:hAnsi="Marianne"/>
                <w:sz w:val="20"/>
              </w:rPr>
              <w:t>l’organisation</w:t>
            </w:r>
            <w:r>
              <w:rPr>
                <w:rFonts w:ascii="Marianne" w:hAnsi="Marianne"/>
                <w:spacing w:val="-8"/>
                <w:sz w:val="20"/>
              </w:rPr>
              <w:t xml:space="preserve"> </w:t>
            </w:r>
            <w:r>
              <w:rPr>
                <w:rFonts w:ascii="Marianne" w:hAnsi="Marianne"/>
                <w:sz w:val="20"/>
              </w:rPr>
              <w:t>des</w:t>
            </w:r>
            <w:r>
              <w:rPr>
                <w:rFonts w:ascii="Marianne" w:hAnsi="Marianne"/>
                <w:spacing w:val="-8"/>
                <w:sz w:val="20"/>
              </w:rPr>
              <w:t xml:space="preserve"> contrôles</w:t>
            </w:r>
            <w:r>
              <w:rPr>
                <w:rFonts w:ascii="Marianne" w:hAnsi="Marianne"/>
                <w:i/>
                <w:spacing w:val="-2"/>
                <w:sz w:val="20"/>
              </w:rPr>
              <w:t>.</w:t>
            </w:r>
          </w:p>
          <w:p>
            <w:pPr>
              <w:pStyle w:val="TableParagraph"/>
              <w:ind w:left="107"/>
              <w:jc w:val="both"/>
              <w:rPr>
                <w:rFonts w:ascii="Marianne" w:hAnsi="Marianne"/>
                <w:iCs/>
                <w:spacing w:val="-2"/>
                <w:sz w:val="20"/>
              </w:rPr>
            </w:pPr>
            <w:r>
              <w:rPr>
                <w:rFonts w:ascii="Marianne" w:hAnsi="Marianne"/>
                <w:iCs/>
                <w:spacing w:val="-2"/>
                <w:sz w:val="20"/>
              </w:rPr>
              <w:t>Il précise la méthodologie utilisée.</w:t>
            </w:r>
          </w:p>
          <w:p>
            <w:pPr>
              <w:pStyle w:val="TableParagraph"/>
              <w:ind w:left="107"/>
              <w:jc w:val="both"/>
              <w:rPr>
                <w:rFonts w:ascii="Marianne" w:hAnsi="Marianne"/>
                <w:iCs/>
                <w:spacing w:val="-2"/>
                <w:sz w:val="20"/>
              </w:rPr>
            </w:pPr>
            <w:r>
              <w:rPr>
                <w:rFonts w:ascii="Marianne" w:hAnsi="Marianne"/>
                <w:iCs/>
                <w:spacing w:val="-2"/>
                <w:sz w:val="20"/>
              </w:rPr>
              <w:t>Il sera jugé sur la pertinence des propositions.</w:t>
            </w:r>
          </w:p>
          <w:p>
            <w:pPr>
              <w:pStyle w:val="TableParagraph"/>
              <w:ind w:left="107"/>
              <w:jc w:val="both"/>
              <w:rPr>
                <w:rFonts w:ascii="Marianne" w:hAnsi="Marianne"/>
                <w:iCs/>
                <w:spacing w:val="-2"/>
                <w:sz w:val="20"/>
              </w:rPr>
            </w:pPr>
          </w:p>
          <w:p>
            <w:pPr>
              <w:pStyle w:val="TableParagraph"/>
              <w:ind w:left="107"/>
              <w:jc w:val="both"/>
              <w:rPr>
                <w:rFonts w:ascii="Marianne" w:hAnsi="Marianne"/>
                <w:i/>
                <w:spacing w:val="-2"/>
                <w:sz w:val="20"/>
              </w:rPr>
            </w:pPr>
          </w:p>
          <w:p>
            <w:pPr>
              <w:pStyle w:val="TableParagraph"/>
              <w:numPr>
                <w:ilvl w:val="0"/>
                <w:numId w:val="7"/>
              </w:numPr>
              <w:tabs>
                <w:tab w:val="left" w:pos="825"/>
              </w:tabs>
              <w:spacing w:before="225"/>
              <w:jc w:val="both"/>
              <w:rPr>
                <w:rFonts w:ascii="Marianne" w:hAnsi="Marianne"/>
                <w:b/>
                <w:spacing w:val="-2"/>
                <w:sz w:val="20"/>
                <w:u w:val="single"/>
              </w:rPr>
            </w:pPr>
            <w:r>
              <w:rPr>
                <w:rFonts w:ascii="Marianne" w:hAnsi="Marianne"/>
                <w:b/>
                <w:spacing w:val="-2"/>
                <w:sz w:val="20"/>
                <w:u w:val="single"/>
              </w:rPr>
              <w:t>Critère n°1 : Organisation et méthodologie mises en place pour les contrôles (composition, dimensionnement, qualifications et compétences de l'équipe de contrôle) (60%)</w:t>
            </w:r>
          </w:p>
          <w:p>
            <w:pPr>
              <w:pStyle w:val="TableParagraph"/>
              <w:spacing w:before="6"/>
              <w:jc w:val="both"/>
              <w:rPr>
                <w:rFonts w:ascii="Marianne" w:hAnsi="Marianne"/>
                <w:bCs/>
                <w:sz w:val="20"/>
              </w:rPr>
            </w:pPr>
          </w:p>
          <w:p>
            <w:pPr>
              <w:pStyle w:val="TableParagraph"/>
              <w:rPr>
                <w:rFonts w:ascii="Marianne" w:hAnsi="Marianne"/>
                <w:bCs/>
                <w:sz w:val="20"/>
              </w:rPr>
            </w:pPr>
            <w:r>
              <w:rPr>
                <w:rFonts w:ascii="Marianne" w:hAnsi="Marianne"/>
                <w:bCs/>
                <w:sz w:val="20"/>
              </w:rPr>
              <w:t xml:space="preserve">Le soumissionnaire est jugé la qualité de son offre en matière de procédures de contrôle pour les deux catégories de contrôles décrites dans le CCTP. </w:t>
            </w:r>
          </w:p>
          <w:p>
            <w:pPr>
              <w:pStyle w:val="TableParagraph"/>
              <w:rPr>
                <w:rFonts w:ascii="Marianne" w:hAnsi="Marianne"/>
                <w:bCs/>
                <w:sz w:val="20"/>
              </w:rPr>
            </w:pPr>
            <w:r>
              <w:rPr>
                <w:rFonts w:ascii="Marianne" w:hAnsi="Marianne"/>
                <w:bCs/>
                <w:sz w:val="20"/>
              </w:rPr>
              <w:t>Il est également jugé sur sa capacité à analyser les facteurs de risques en matière de fraude.</w:t>
            </w:r>
          </w:p>
          <w:p>
            <w:pPr>
              <w:pStyle w:val="TableParagraph"/>
              <w:jc w:val="both"/>
              <w:rPr>
                <w:rFonts w:ascii="Marianne" w:hAnsi="Marianne"/>
                <w:bCs/>
                <w:sz w:val="20"/>
              </w:rPr>
            </w:pPr>
            <w:r>
              <w:rPr>
                <w:rFonts w:ascii="Marianne" w:hAnsi="Marianne"/>
                <w:bCs/>
                <w:sz w:val="20"/>
              </w:rPr>
              <w:t>Il est jugé sur le profil et l’expertise des équipes de contrôle, et sur ses expériences de contrôle dans des domaines similaires.</w:t>
            </w:r>
          </w:p>
          <w:p>
            <w:pPr>
              <w:pStyle w:val="TableParagraph"/>
              <w:jc w:val="both"/>
              <w:rPr>
                <w:rFonts w:ascii="Marianne" w:hAnsi="Marianne"/>
                <w:bCs/>
                <w:sz w:val="20"/>
              </w:rPr>
            </w:pPr>
            <w:r>
              <w:rPr>
                <w:rFonts w:ascii="Marianne" w:hAnsi="Marianne"/>
                <w:bCs/>
                <w:sz w:val="20"/>
              </w:rPr>
              <w:t xml:space="preserve"> </w:t>
            </w:r>
          </w:p>
          <w:p>
            <w:pPr>
              <w:pStyle w:val="TableParagraph"/>
              <w:jc w:val="both"/>
              <w:rPr>
                <w:rFonts w:ascii="Marianne" w:hAnsi="Marianne"/>
                <w:bCs/>
                <w:sz w:val="20"/>
              </w:rPr>
            </w:pPr>
          </w:p>
          <w:p>
            <w:pPr>
              <w:pStyle w:val="TableParagraph"/>
              <w:numPr>
                <w:ilvl w:val="0"/>
                <w:numId w:val="4"/>
              </w:numPr>
              <w:jc w:val="both"/>
              <w:rPr>
                <w:rFonts w:ascii="Marianne" w:hAnsi="Marianne"/>
                <w:b/>
                <w:sz w:val="20"/>
              </w:rPr>
            </w:pPr>
            <w:r>
              <w:rPr>
                <w:rFonts w:ascii="Marianne" w:hAnsi="Marianne"/>
                <w:b/>
                <w:sz w:val="20"/>
                <w:u w:val="single"/>
              </w:rPr>
              <w:t>Critère n° 2 : Qualité de la démarche d'accompagnement et de conseil (y compris rapport de fin de mission et recommandations) (40%)</w:t>
            </w:r>
          </w:p>
          <w:p>
            <w:pPr>
              <w:pStyle w:val="TableParagraph"/>
              <w:rPr>
                <w:rFonts w:ascii="Marianne" w:hAnsi="Marianne"/>
                <w:b/>
                <w:sz w:val="20"/>
              </w:rPr>
            </w:pPr>
          </w:p>
          <w:p>
            <w:pPr>
              <w:pStyle w:val="TableParagraph"/>
              <w:rPr>
                <w:rFonts w:ascii="Marianne" w:hAnsi="Marianne"/>
                <w:sz w:val="20"/>
              </w:rPr>
            </w:pPr>
            <w:r>
              <w:rPr>
                <w:rFonts w:ascii="Marianne" w:hAnsi="Marianne"/>
                <w:sz w:val="20"/>
              </w:rPr>
              <w:t xml:space="preserve">Le soumissionnaire est jugé sur sa capacité à accompagner la DGAFP et à lui apporter conseil et expertise en matière de lutte contre la fraude et de mesures de prévention. </w:t>
            </w:r>
          </w:p>
          <w:p>
            <w:pPr>
              <w:pStyle w:val="TableParagraph"/>
              <w:rPr>
                <w:rFonts w:ascii="Marianne" w:hAnsi="Marianne"/>
                <w:sz w:val="20"/>
              </w:rPr>
            </w:pPr>
            <w:r>
              <w:rPr>
                <w:rFonts w:ascii="Marianne" w:hAnsi="Marianne"/>
                <w:sz w:val="20"/>
              </w:rPr>
              <w:t>Il sera jugé sur sa capacité à apporter des conseils sur d’éventuelles mesures correctives aux procédures qui auront été mises en place par le Titulaire du lot 1.</w:t>
            </w:r>
          </w:p>
          <w:p>
            <w:pPr>
              <w:pStyle w:val="TableParagraph"/>
              <w:rPr>
                <w:rFonts w:ascii="Marianne" w:hAnsi="Marianne"/>
                <w:sz w:val="20"/>
              </w:rPr>
            </w:pPr>
            <w:r>
              <w:rPr>
                <w:rFonts w:ascii="Marianne" w:hAnsi="Marianne"/>
                <w:sz w:val="20"/>
              </w:rPr>
              <w:t>Des propositions sur la possibilité de vérifier la qualité d’agent public des demandeurs seraient appréciées.</w:t>
            </w:r>
          </w:p>
          <w:p>
            <w:pPr>
              <w:pStyle w:val="TableParagraph"/>
              <w:rPr>
                <w:rFonts w:ascii="Marianne" w:hAnsi="Marianne"/>
                <w:sz w:val="20"/>
              </w:rPr>
            </w:pPr>
          </w:p>
          <w:p>
            <w:pPr>
              <w:pStyle w:val="TableParagraph"/>
              <w:jc w:val="both"/>
              <w:rPr>
                <w:rFonts w:ascii="Marianne" w:hAnsi="Marianne"/>
                <w:sz w:val="20"/>
              </w:rPr>
            </w:pPr>
          </w:p>
          <w:p>
            <w:pPr>
              <w:pStyle w:val="TableParagraph"/>
              <w:rPr>
                <w:rFonts w:ascii="Marianne" w:hAnsi="Marianne"/>
                <w:sz w:val="20"/>
              </w:rPr>
            </w:pPr>
          </w:p>
        </w:tc>
      </w:tr>
      <w:tr>
        <w:trPr>
          <w:gridAfter w:val="1"/>
          <w:wAfter w:w="12" w:type="dxa"/>
          <w:trHeight w:val="2266"/>
        </w:trPr>
        <w:tc>
          <w:tcPr>
            <w:tcW w:w="10730" w:type="dxa"/>
          </w:tcPr>
          <w:p>
            <w:pPr>
              <w:pStyle w:val="TableParagraph"/>
              <w:spacing w:before="7"/>
              <w:jc w:val="both"/>
              <w:rPr>
                <w:rFonts w:ascii="Marianne" w:hAnsi="Marianne"/>
                <w:b/>
                <w:sz w:val="20"/>
                <w:u w:val="single"/>
              </w:rPr>
            </w:pPr>
          </w:p>
          <w:p>
            <w:pPr>
              <w:pStyle w:val="TableParagraph"/>
              <w:spacing w:before="7"/>
              <w:jc w:val="both"/>
              <w:rPr>
                <w:rFonts w:ascii="Marianne" w:hAnsi="Marianne"/>
                <w:b/>
                <w:sz w:val="20"/>
              </w:rPr>
            </w:pPr>
            <w:r>
              <w:rPr>
                <w:rFonts w:ascii="Marianne" w:hAnsi="Marianne"/>
                <w:b/>
                <w:sz w:val="20"/>
                <w:u w:val="single"/>
              </w:rPr>
              <w:t>Critère environnemental (10%) :</w:t>
            </w:r>
            <w:r>
              <w:rPr>
                <w:rFonts w:ascii="Marianne" w:hAnsi="Marianne"/>
                <w:b/>
                <w:sz w:val="20"/>
              </w:rPr>
              <w:t xml:space="preserve"> Politique du titulaire en faveur de la limitation de la consommation énergétique et des ressources mises en œuvre pour l’exécution des prestations du marché </w:t>
            </w:r>
          </w:p>
          <w:p>
            <w:pPr>
              <w:pStyle w:val="TableParagraph"/>
              <w:spacing w:before="7"/>
              <w:jc w:val="both"/>
              <w:rPr>
                <w:rFonts w:ascii="Marianne" w:hAnsi="Marianne"/>
                <w:b/>
                <w:sz w:val="20"/>
              </w:rPr>
            </w:pPr>
          </w:p>
          <w:p>
            <w:pPr>
              <w:jc w:val="both"/>
              <w:rPr>
                <w:rFonts w:ascii="Marianne" w:hAnsi="Marianne"/>
                <w:sz w:val="20"/>
                <w:szCs w:val="20"/>
              </w:rPr>
            </w:pPr>
            <w:r>
              <w:rPr>
                <w:rFonts w:ascii="Marianne" w:hAnsi="Marianne"/>
                <w:sz w:val="20"/>
                <w:szCs w:val="20"/>
              </w:rPr>
              <w:t>Le candidat détaille sa politique de Green IT (par exemple : tri des données, alimentation des serveurs, stockage sur les réseaux, gestion des mails et envois raisonnés) et donne des exemples des actions réalisées afin de réduire son empreinte écologique lors de l’exécution des prestations du marché en matière :</w:t>
            </w:r>
          </w:p>
          <w:p>
            <w:pPr>
              <w:jc w:val="both"/>
              <w:rPr>
                <w:rFonts w:ascii="Marianne" w:hAnsi="Marianne"/>
                <w:sz w:val="20"/>
                <w:szCs w:val="20"/>
              </w:rPr>
            </w:pPr>
          </w:p>
          <w:p>
            <w:pPr>
              <w:jc w:val="both"/>
              <w:rPr>
                <w:rFonts w:ascii="Marianne" w:eastAsiaTheme="minorHAnsi" w:hAnsi="Marianne" w:cs="Calibri"/>
                <w:sz w:val="20"/>
                <w:szCs w:val="20"/>
              </w:rPr>
            </w:pPr>
          </w:p>
          <w:p>
            <w:pPr>
              <w:widowControl/>
              <w:numPr>
                <w:ilvl w:val="0"/>
                <w:numId w:val="9"/>
              </w:numPr>
              <w:autoSpaceDE/>
              <w:autoSpaceDN/>
              <w:ind w:left="720"/>
              <w:jc w:val="both"/>
              <w:rPr>
                <w:rFonts w:ascii="Marianne" w:hAnsi="Marianne"/>
                <w:sz w:val="20"/>
                <w:szCs w:val="20"/>
              </w:rPr>
            </w:pPr>
            <w:proofErr w:type="gramStart"/>
            <w:r>
              <w:rPr>
                <w:rFonts w:ascii="Marianne" w:hAnsi="Marianne"/>
                <w:sz w:val="20"/>
                <w:szCs w:val="20"/>
              </w:rPr>
              <w:t>d’hébergement</w:t>
            </w:r>
            <w:proofErr w:type="gramEnd"/>
            <w:r>
              <w:rPr>
                <w:rFonts w:ascii="Marianne" w:hAnsi="Marianne"/>
                <w:sz w:val="20"/>
                <w:szCs w:val="20"/>
              </w:rPr>
              <w:t xml:space="preserve"> et de tri de données ;</w:t>
            </w:r>
          </w:p>
          <w:p>
            <w:pPr>
              <w:widowControl/>
              <w:numPr>
                <w:ilvl w:val="0"/>
                <w:numId w:val="9"/>
              </w:numPr>
              <w:autoSpaceDE/>
              <w:autoSpaceDN/>
              <w:ind w:left="720"/>
              <w:jc w:val="both"/>
              <w:rPr>
                <w:rFonts w:ascii="Marianne" w:hAnsi="Marianne"/>
                <w:sz w:val="20"/>
                <w:szCs w:val="20"/>
              </w:rPr>
            </w:pPr>
            <w:proofErr w:type="gramStart"/>
            <w:r>
              <w:rPr>
                <w:rFonts w:ascii="Marianne" w:hAnsi="Marianne"/>
                <w:sz w:val="20"/>
                <w:szCs w:val="20"/>
              </w:rPr>
              <w:t>d’hébergement</w:t>
            </w:r>
            <w:proofErr w:type="gramEnd"/>
            <w:r>
              <w:rPr>
                <w:rFonts w:ascii="Marianne" w:hAnsi="Marianne"/>
                <w:sz w:val="20"/>
                <w:szCs w:val="20"/>
              </w:rPr>
              <w:t xml:space="preserve"> de sa plateforme de consultation en ligne ;</w:t>
            </w:r>
          </w:p>
          <w:p>
            <w:pPr>
              <w:widowControl/>
              <w:numPr>
                <w:ilvl w:val="0"/>
                <w:numId w:val="9"/>
              </w:numPr>
              <w:autoSpaceDE/>
              <w:autoSpaceDN/>
              <w:spacing w:before="7"/>
              <w:ind w:left="720"/>
              <w:jc w:val="both"/>
              <w:rPr>
                <w:rFonts w:ascii="Marianne" w:hAnsi="Marianne"/>
                <w:b/>
                <w:sz w:val="20"/>
              </w:rPr>
            </w:pPr>
            <w:proofErr w:type="gramStart"/>
            <w:r>
              <w:rPr>
                <w:rFonts w:ascii="Marianne" w:hAnsi="Marianne"/>
                <w:sz w:val="20"/>
                <w:szCs w:val="20"/>
              </w:rPr>
              <w:t>de</w:t>
            </w:r>
            <w:proofErr w:type="gramEnd"/>
            <w:r>
              <w:rPr>
                <w:rFonts w:ascii="Marianne" w:hAnsi="Marianne"/>
                <w:sz w:val="20"/>
                <w:szCs w:val="20"/>
              </w:rPr>
              <w:t xml:space="preserve"> gestion des courriels raisonnée ;</w:t>
            </w:r>
          </w:p>
          <w:p>
            <w:pPr>
              <w:widowControl/>
              <w:numPr>
                <w:ilvl w:val="0"/>
                <w:numId w:val="9"/>
              </w:numPr>
              <w:autoSpaceDE/>
              <w:autoSpaceDN/>
              <w:spacing w:before="7"/>
              <w:ind w:left="720"/>
              <w:jc w:val="both"/>
              <w:rPr>
                <w:rFonts w:ascii="Marianne" w:hAnsi="Marianne"/>
                <w:b/>
                <w:sz w:val="20"/>
              </w:rPr>
            </w:pPr>
            <w:proofErr w:type="gramStart"/>
            <w:r>
              <w:rPr>
                <w:rFonts w:ascii="Marianne" w:hAnsi="Marianne"/>
                <w:sz w:val="20"/>
                <w:szCs w:val="20"/>
              </w:rPr>
              <w:t>de</w:t>
            </w:r>
            <w:proofErr w:type="gramEnd"/>
            <w:r>
              <w:rPr>
                <w:rFonts w:ascii="Marianne" w:hAnsi="Marianne"/>
                <w:sz w:val="20"/>
                <w:szCs w:val="20"/>
              </w:rPr>
              <w:t xml:space="preserve"> recyclage du matériel informatique utilisé pour réaliser les prestations du marché.</w:t>
            </w:r>
          </w:p>
          <w:p>
            <w:pPr>
              <w:pStyle w:val="TableParagraph"/>
              <w:spacing w:before="7"/>
              <w:jc w:val="both"/>
              <w:rPr>
                <w:rFonts w:ascii="Marianne" w:hAnsi="Marianne"/>
                <w:b/>
                <w:sz w:val="20"/>
              </w:rPr>
            </w:pPr>
          </w:p>
        </w:tc>
      </w:tr>
    </w:tbl>
    <w:p>
      <w:pPr>
        <w:rPr>
          <w:rFonts w:ascii="Marianne" w:hAnsi="Marianne"/>
        </w:rPr>
      </w:pPr>
    </w:p>
    <w:sectPr>
      <w:type w:val="continuous"/>
      <w:pgSz w:w="11910" w:h="16840"/>
      <w:pgMar w:top="740" w:right="566" w:bottom="280" w:left="42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C5331"/>
    <w:multiLevelType w:val="hybridMultilevel"/>
    <w:tmpl w:val="994ED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D32737"/>
    <w:multiLevelType w:val="hybridMultilevel"/>
    <w:tmpl w:val="D30881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175A1E"/>
    <w:multiLevelType w:val="hybridMultilevel"/>
    <w:tmpl w:val="E8B05EC4"/>
    <w:lvl w:ilvl="0" w:tplc="040C0001">
      <w:start w:val="1"/>
      <w:numFmt w:val="bullet"/>
      <w:lvlText w:val=""/>
      <w:lvlJc w:val="left"/>
      <w:pPr>
        <w:ind w:left="-696" w:hanging="360"/>
      </w:pPr>
      <w:rPr>
        <w:rFonts w:ascii="Symbol" w:hAnsi="Symbol" w:hint="default"/>
      </w:rPr>
    </w:lvl>
    <w:lvl w:ilvl="1" w:tplc="040C0003">
      <w:start w:val="1"/>
      <w:numFmt w:val="bullet"/>
      <w:lvlText w:val="o"/>
      <w:lvlJc w:val="left"/>
      <w:pPr>
        <w:ind w:left="24" w:hanging="360"/>
      </w:pPr>
      <w:rPr>
        <w:rFonts w:ascii="Courier New" w:hAnsi="Courier New" w:cs="Courier New" w:hint="default"/>
      </w:rPr>
    </w:lvl>
    <w:lvl w:ilvl="2" w:tplc="040C0005">
      <w:start w:val="1"/>
      <w:numFmt w:val="bullet"/>
      <w:lvlText w:val=""/>
      <w:lvlJc w:val="left"/>
      <w:pPr>
        <w:ind w:left="744" w:hanging="360"/>
      </w:pPr>
      <w:rPr>
        <w:rFonts w:ascii="Wingdings" w:hAnsi="Wingdings" w:hint="default"/>
      </w:rPr>
    </w:lvl>
    <w:lvl w:ilvl="3" w:tplc="040C0001">
      <w:start w:val="1"/>
      <w:numFmt w:val="bullet"/>
      <w:lvlText w:val=""/>
      <w:lvlJc w:val="left"/>
      <w:pPr>
        <w:ind w:left="1464" w:hanging="360"/>
      </w:pPr>
      <w:rPr>
        <w:rFonts w:ascii="Symbol" w:hAnsi="Symbol" w:hint="default"/>
      </w:rPr>
    </w:lvl>
    <w:lvl w:ilvl="4" w:tplc="040C0003">
      <w:start w:val="1"/>
      <w:numFmt w:val="bullet"/>
      <w:lvlText w:val="o"/>
      <w:lvlJc w:val="left"/>
      <w:pPr>
        <w:ind w:left="2184" w:hanging="360"/>
      </w:pPr>
      <w:rPr>
        <w:rFonts w:ascii="Courier New" w:hAnsi="Courier New" w:cs="Courier New" w:hint="default"/>
      </w:rPr>
    </w:lvl>
    <w:lvl w:ilvl="5" w:tplc="040C0005">
      <w:start w:val="1"/>
      <w:numFmt w:val="bullet"/>
      <w:lvlText w:val=""/>
      <w:lvlJc w:val="left"/>
      <w:pPr>
        <w:ind w:left="2904" w:hanging="360"/>
      </w:pPr>
      <w:rPr>
        <w:rFonts w:ascii="Wingdings" w:hAnsi="Wingdings" w:hint="default"/>
      </w:rPr>
    </w:lvl>
    <w:lvl w:ilvl="6" w:tplc="040C0001">
      <w:start w:val="1"/>
      <w:numFmt w:val="bullet"/>
      <w:lvlText w:val=""/>
      <w:lvlJc w:val="left"/>
      <w:pPr>
        <w:ind w:left="3624" w:hanging="360"/>
      </w:pPr>
      <w:rPr>
        <w:rFonts w:ascii="Symbol" w:hAnsi="Symbol" w:hint="default"/>
      </w:rPr>
    </w:lvl>
    <w:lvl w:ilvl="7" w:tplc="040C0003">
      <w:start w:val="1"/>
      <w:numFmt w:val="bullet"/>
      <w:lvlText w:val="o"/>
      <w:lvlJc w:val="left"/>
      <w:pPr>
        <w:ind w:left="4344" w:hanging="360"/>
      </w:pPr>
      <w:rPr>
        <w:rFonts w:ascii="Courier New" w:hAnsi="Courier New" w:cs="Courier New" w:hint="default"/>
      </w:rPr>
    </w:lvl>
    <w:lvl w:ilvl="8" w:tplc="040C0005">
      <w:start w:val="1"/>
      <w:numFmt w:val="bullet"/>
      <w:lvlText w:val=""/>
      <w:lvlJc w:val="left"/>
      <w:pPr>
        <w:ind w:left="5064" w:hanging="360"/>
      </w:pPr>
      <w:rPr>
        <w:rFonts w:ascii="Wingdings" w:hAnsi="Wingdings" w:hint="default"/>
      </w:rPr>
    </w:lvl>
  </w:abstractNum>
  <w:abstractNum w:abstractNumId="3" w15:restartNumberingAfterBreak="0">
    <w:nsid w:val="2F7723A5"/>
    <w:multiLevelType w:val="hybridMultilevel"/>
    <w:tmpl w:val="71A434A2"/>
    <w:lvl w:ilvl="0" w:tplc="B57E3070">
      <w:start w:val="3"/>
      <w:numFmt w:val="decimal"/>
      <w:lvlText w:val="%1."/>
      <w:lvlJc w:val="left"/>
      <w:pPr>
        <w:ind w:left="827" w:hanging="360"/>
      </w:pPr>
      <w:rPr>
        <w:rFonts w:ascii="Arial" w:eastAsia="Arial" w:hAnsi="Arial" w:cs="Arial" w:hint="default"/>
        <w:b/>
        <w:bCs/>
        <w:i w:val="0"/>
        <w:iCs w:val="0"/>
        <w:spacing w:val="-1"/>
        <w:w w:val="99"/>
        <w:sz w:val="20"/>
        <w:szCs w:val="20"/>
        <w:lang w:val="fr-FR" w:eastAsia="en-US" w:bidi="ar-SA"/>
      </w:rPr>
    </w:lvl>
    <w:lvl w:ilvl="1" w:tplc="96E418DE">
      <w:numFmt w:val="bullet"/>
      <w:lvlText w:val=""/>
      <w:lvlJc w:val="left"/>
      <w:pPr>
        <w:ind w:left="827" w:hanging="360"/>
      </w:pPr>
      <w:rPr>
        <w:rFonts w:ascii="Symbol" w:eastAsia="Symbol" w:hAnsi="Symbol" w:cs="Symbol" w:hint="default"/>
        <w:b w:val="0"/>
        <w:bCs w:val="0"/>
        <w:i w:val="0"/>
        <w:iCs w:val="0"/>
        <w:spacing w:val="0"/>
        <w:w w:val="99"/>
        <w:sz w:val="20"/>
        <w:szCs w:val="20"/>
        <w:lang w:val="fr-FR" w:eastAsia="en-US" w:bidi="ar-SA"/>
      </w:rPr>
    </w:lvl>
    <w:lvl w:ilvl="2" w:tplc="517A2062">
      <w:numFmt w:val="bullet"/>
      <w:lvlText w:val="•"/>
      <w:lvlJc w:val="left"/>
      <w:pPr>
        <w:ind w:left="2802" w:hanging="360"/>
      </w:pPr>
      <w:rPr>
        <w:rFonts w:hint="default"/>
        <w:lang w:val="fr-FR" w:eastAsia="en-US" w:bidi="ar-SA"/>
      </w:rPr>
    </w:lvl>
    <w:lvl w:ilvl="3" w:tplc="A8C04164">
      <w:numFmt w:val="bullet"/>
      <w:lvlText w:val="•"/>
      <w:lvlJc w:val="left"/>
      <w:pPr>
        <w:ind w:left="3793" w:hanging="360"/>
      </w:pPr>
      <w:rPr>
        <w:rFonts w:hint="default"/>
        <w:lang w:val="fr-FR" w:eastAsia="en-US" w:bidi="ar-SA"/>
      </w:rPr>
    </w:lvl>
    <w:lvl w:ilvl="4" w:tplc="F8BCDBB6">
      <w:numFmt w:val="bullet"/>
      <w:lvlText w:val="•"/>
      <w:lvlJc w:val="left"/>
      <w:pPr>
        <w:ind w:left="4784" w:hanging="360"/>
      </w:pPr>
      <w:rPr>
        <w:rFonts w:hint="default"/>
        <w:lang w:val="fr-FR" w:eastAsia="en-US" w:bidi="ar-SA"/>
      </w:rPr>
    </w:lvl>
    <w:lvl w:ilvl="5" w:tplc="54FA7A46">
      <w:numFmt w:val="bullet"/>
      <w:lvlText w:val="•"/>
      <w:lvlJc w:val="left"/>
      <w:pPr>
        <w:ind w:left="5776" w:hanging="360"/>
      </w:pPr>
      <w:rPr>
        <w:rFonts w:hint="default"/>
        <w:lang w:val="fr-FR" w:eastAsia="en-US" w:bidi="ar-SA"/>
      </w:rPr>
    </w:lvl>
    <w:lvl w:ilvl="6" w:tplc="6C6CE88A">
      <w:numFmt w:val="bullet"/>
      <w:lvlText w:val="•"/>
      <w:lvlJc w:val="left"/>
      <w:pPr>
        <w:ind w:left="6767" w:hanging="360"/>
      </w:pPr>
      <w:rPr>
        <w:rFonts w:hint="default"/>
        <w:lang w:val="fr-FR" w:eastAsia="en-US" w:bidi="ar-SA"/>
      </w:rPr>
    </w:lvl>
    <w:lvl w:ilvl="7" w:tplc="8E40D18E">
      <w:numFmt w:val="bullet"/>
      <w:lvlText w:val="•"/>
      <w:lvlJc w:val="left"/>
      <w:pPr>
        <w:ind w:left="7758" w:hanging="360"/>
      </w:pPr>
      <w:rPr>
        <w:rFonts w:hint="default"/>
        <w:lang w:val="fr-FR" w:eastAsia="en-US" w:bidi="ar-SA"/>
      </w:rPr>
    </w:lvl>
    <w:lvl w:ilvl="8" w:tplc="C48E0DD8">
      <w:numFmt w:val="bullet"/>
      <w:lvlText w:val="•"/>
      <w:lvlJc w:val="left"/>
      <w:pPr>
        <w:ind w:left="8749" w:hanging="360"/>
      </w:pPr>
      <w:rPr>
        <w:rFonts w:hint="default"/>
        <w:lang w:val="fr-FR" w:eastAsia="en-US" w:bidi="ar-SA"/>
      </w:rPr>
    </w:lvl>
  </w:abstractNum>
  <w:abstractNum w:abstractNumId="4" w15:restartNumberingAfterBreak="0">
    <w:nsid w:val="377C5B57"/>
    <w:multiLevelType w:val="hybridMultilevel"/>
    <w:tmpl w:val="AB44E8EA"/>
    <w:lvl w:ilvl="0" w:tplc="06184670">
      <w:numFmt w:val="bullet"/>
      <w:lvlText w:val=""/>
      <w:lvlJc w:val="left"/>
      <w:pPr>
        <w:ind w:left="787" w:hanging="360"/>
      </w:pPr>
      <w:rPr>
        <w:rFonts w:ascii="Symbol" w:eastAsia="Symbol" w:hAnsi="Symbol" w:cs="Symbol" w:hint="default"/>
        <w:b w:val="0"/>
        <w:bCs w:val="0"/>
        <w:i w:val="0"/>
        <w:iCs w:val="0"/>
        <w:spacing w:val="0"/>
        <w:w w:val="99"/>
        <w:sz w:val="20"/>
        <w:szCs w:val="20"/>
        <w:lang w:val="fr-FR" w:eastAsia="en-US" w:bidi="ar-SA"/>
      </w:rPr>
    </w:lvl>
    <w:lvl w:ilvl="1" w:tplc="A0789676">
      <w:numFmt w:val="bullet"/>
      <w:lvlText w:val="•"/>
      <w:lvlJc w:val="left"/>
      <w:pPr>
        <w:ind w:left="1775" w:hanging="360"/>
      </w:pPr>
      <w:rPr>
        <w:rFonts w:hint="default"/>
        <w:lang w:val="fr-FR" w:eastAsia="en-US" w:bidi="ar-SA"/>
      </w:rPr>
    </w:lvl>
    <w:lvl w:ilvl="2" w:tplc="A2029EB8">
      <w:numFmt w:val="bullet"/>
      <w:lvlText w:val="•"/>
      <w:lvlJc w:val="left"/>
      <w:pPr>
        <w:ind w:left="2770" w:hanging="360"/>
      </w:pPr>
      <w:rPr>
        <w:rFonts w:hint="default"/>
        <w:lang w:val="fr-FR" w:eastAsia="en-US" w:bidi="ar-SA"/>
      </w:rPr>
    </w:lvl>
    <w:lvl w:ilvl="3" w:tplc="815C4346">
      <w:numFmt w:val="bullet"/>
      <w:lvlText w:val="•"/>
      <w:lvlJc w:val="left"/>
      <w:pPr>
        <w:ind w:left="3765" w:hanging="360"/>
      </w:pPr>
      <w:rPr>
        <w:rFonts w:hint="default"/>
        <w:lang w:val="fr-FR" w:eastAsia="en-US" w:bidi="ar-SA"/>
      </w:rPr>
    </w:lvl>
    <w:lvl w:ilvl="4" w:tplc="32F2E07C">
      <w:numFmt w:val="bullet"/>
      <w:lvlText w:val="•"/>
      <w:lvlJc w:val="left"/>
      <w:pPr>
        <w:ind w:left="4760" w:hanging="360"/>
      </w:pPr>
      <w:rPr>
        <w:rFonts w:hint="default"/>
        <w:lang w:val="fr-FR" w:eastAsia="en-US" w:bidi="ar-SA"/>
      </w:rPr>
    </w:lvl>
    <w:lvl w:ilvl="5" w:tplc="8592DB34">
      <w:numFmt w:val="bullet"/>
      <w:lvlText w:val="•"/>
      <w:lvlJc w:val="left"/>
      <w:pPr>
        <w:ind w:left="5756" w:hanging="360"/>
      </w:pPr>
      <w:rPr>
        <w:rFonts w:hint="default"/>
        <w:lang w:val="fr-FR" w:eastAsia="en-US" w:bidi="ar-SA"/>
      </w:rPr>
    </w:lvl>
    <w:lvl w:ilvl="6" w:tplc="0B1EBE48">
      <w:numFmt w:val="bullet"/>
      <w:lvlText w:val="•"/>
      <w:lvlJc w:val="left"/>
      <w:pPr>
        <w:ind w:left="6751" w:hanging="360"/>
      </w:pPr>
      <w:rPr>
        <w:rFonts w:hint="default"/>
        <w:lang w:val="fr-FR" w:eastAsia="en-US" w:bidi="ar-SA"/>
      </w:rPr>
    </w:lvl>
    <w:lvl w:ilvl="7" w:tplc="585E85E8">
      <w:numFmt w:val="bullet"/>
      <w:lvlText w:val="•"/>
      <w:lvlJc w:val="left"/>
      <w:pPr>
        <w:ind w:left="7746" w:hanging="360"/>
      </w:pPr>
      <w:rPr>
        <w:rFonts w:hint="default"/>
        <w:lang w:val="fr-FR" w:eastAsia="en-US" w:bidi="ar-SA"/>
      </w:rPr>
    </w:lvl>
    <w:lvl w:ilvl="8" w:tplc="9BF0B896">
      <w:numFmt w:val="bullet"/>
      <w:lvlText w:val="•"/>
      <w:lvlJc w:val="left"/>
      <w:pPr>
        <w:ind w:left="8741" w:hanging="360"/>
      </w:pPr>
      <w:rPr>
        <w:rFonts w:hint="default"/>
        <w:lang w:val="fr-FR" w:eastAsia="en-US" w:bidi="ar-SA"/>
      </w:rPr>
    </w:lvl>
  </w:abstractNum>
  <w:abstractNum w:abstractNumId="5" w15:restartNumberingAfterBreak="0">
    <w:nsid w:val="3B852225"/>
    <w:multiLevelType w:val="hybridMultilevel"/>
    <w:tmpl w:val="4FA0FC10"/>
    <w:lvl w:ilvl="0" w:tplc="B2C83C78">
      <w:start w:val="2"/>
      <w:numFmt w:val="decimal"/>
      <w:lvlText w:val="%1."/>
      <w:lvlJc w:val="left"/>
      <w:pPr>
        <w:ind w:left="827" w:hanging="360"/>
      </w:pPr>
      <w:rPr>
        <w:rFonts w:ascii="Arial" w:eastAsia="Arial" w:hAnsi="Arial" w:cs="Arial" w:hint="default"/>
        <w:b/>
        <w:bCs/>
        <w:i w:val="0"/>
        <w:iCs w:val="0"/>
        <w:spacing w:val="-1"/>
        <w:w w:val="99"/>
        <w:sz w:val="20"/>
        <w:szCs w:val="20"/>
        <w:lang w:val="fr-FR" w:eastAsia="en-US" w:bidi="ar-SA"/>
      </w:rPr>
    </w:lvl>
    <w:lvl w:ilvl="1" w:tplc="5810F01A">
      <w:numFmt w:val="bullet"/>
      <w:lvlText w:val=""/>
      <w:lvlJc w:val="left"/>
      <w:pPr>
        <w:ind w:left="815" w:hanging="293"/>
      </w:pPr>
      <w:rPr>
        <w:rFonts w:ascii="Symbol" w:eastAsia="Symbol" w:hAnsi="Symbol" w:cs="Symbol" w:hint="default"/>
        <w:b w:val="0"/>
        <w:bCs w:val="0"/>
        <w:i w:val="0"/>
        <w:iCs w:val="0"/>
        <w:spacing w:val="0"/>
        <w:w w:val="99"/>
        <w:sz w:val="20"/>
        <w:szCs w:val="20"/>
        <w:lang w:val="fr-FR" w:eastAsia="en-US" w:bidi="ar-SA"/>
      </w:rPr>
    </w:lvl>
    <w:lvl w:ilvl="2" w:tplc="9E1AE246">
      <w:numFmt w:val="bullet"/>
      <w:lvlText w:val="•"/>
      <w:lvlJc w:val="left"/>
      <w:pPr>
        <w:ind w:left="2802" w:hanging="293"/>
      </w:pPr>
      <w:rPr>
        <w:rFonts w:hint="default"/>
        <w:lang w:val="fr-FR" w:eastAsia="en-US" w:bidi="ar-SA"/>
      </w:rPr>
    </w:lvl>
    <w:lvl w:ilvl="3" w:tplc="516E7344">
      <w:numFmt w:val="bullet"/>
      <w:lvlText w:val="•"/>
      <w:lvlJc w:val="left"/>
      <w:pPr>
        <w:ind w:left="3793" w:hanging="293"/>
      </w:pPr>
      <w:rPr>
        <w:rFonts w:hint="default"/>
        <w:lang w:val="fr-FR" w:eastAsia="en-US" w:bidi="ar-SA"/>
      </w:rPr>
    </w:lvl>
    <w:lvl w:ilvl="4" w:tplc="968AAD5A">
      <w:numFmt w:val="bullet"/>
      <w:lvlText w:val="•"/>
      <w:lvlJc w:val="left"/>
      <w:pPr>
        <w:ind w:left="4784" w:hanging="293"/>
      </w:pPr>
      <w:rPr>
        <w:rFonts w:hint="default"/>
        <w:lang w:val="fr-FR" w:eastAsia="en-US" w:bidi="ar-SA"/>
      </w:rPr>
    </w:lvl>
    <w:lvl w:ilvl="5" w:tplc="F3BAAF84">
      <w:numFmt w:val="bullet"/>
      <w:lvlText w:val="•"/>
      <w:lvlJc w:val="left"/>
      <w:pPr>
        <w:ind w:left="5776" w:hanging="293"/>
      </w:pPr>
      <w:rPr>
        <w:rFonts w:hint="default"/>
        <w:lang w:val="fr-FR" w:eastAsia="en-US" w:bidi="ar-SA"/>
      </w:rPr>
    </w:lvl>
    <w:lvl w:ilvl="6" w:tplc="C7685EB2">
      <w:numFmt w:val="bullet"/>
      <w:lvlText w:val="•"/>
      <w:lvlJc w:val="left"/>
      <w:pPr>
        <w:ind w:left="6767" w:hanging="293"/>
      </w:pPr>
      <w:rPr>
        <w:rFonts w:hint="default"/>
        <w:lang w:val="fr-FR" w:eastAsia="en-US" w:bidi="ar-SA"/>
      </w:rPr>
    </w:lvl>
    <w:lvl w:ilvl="7" w:tplc="4224E96C">
      <w:numFmt w:val="bullet"/>
      <w:lvlText w:val="•"/>
      <w:lvlJc w:val="left"/>
      <w:pPr>
        <w:ind w:left="7758" w:hanging="293"/>
      </w:pPr>
      <w:rPr>
        <w:rFonts w:hint="default"/>
        <w:lang w:val="fr-FR" w:eastAsia="en-US" w:bidi="ar-SA"/>
      </w:rPr>
    </w:lvl>
    <w:lvl w:ilvl="8" w:tplc="6ADAA90A">
      <w:numFmt w:val="bullet"/>
      <w:lvlText w:val="•"/>
      <w:lvlJc w:val="left"/>
      <w:pPr>
        <w:ind w:left="8749" w:hanging="293"/>
      </w:pPr>
      <w:rPr>
        <w:rFonts w:hint="default"/>
        <w:lang w:val="fr-FR" w:eastAsia="en-US" w:bidi="ar-SA"/>
      </w:rPr>
    </w:lvl>
  </w:abstractNum>
  <w:abstractNum w:abstractNumId="6" w15:restartNumberingAfterBreak="0">
    <w:nsid w:val="41C4373D"/>
    <w:multiLevelType w:val="hybridMultilevel"/>
    <w:tmpl w:val="9B5A6E26"/>
    <w:lvl w:ilvl="0" w:tplc="1A929FB4">
      <w:numFmt w:val="bullet"/>
      <w:lvlText w:val=""/>
      <w:lvlJc w:val="left"/>
      <w:pPr>
        <w:ind w:left="827" w:hanging="360"/>
      </w:pPr>
      <w:rPr>
        <w:rFonts w:ascii="Symbol" w:eastAsia="Symbol" w:hAnsi="Symbol" w:cs="Symbol" w:hint="default"/>
        <w:b w:val="0"/>
        <w:bCs w:val="0"/>
        <w:i w:val="0"/>
        <w:iCs w:val="0"/>
        <w:spacing w:val="0"/>
        <w:w w:val="99"/>
        <w:sz w:val="20"/>
        <w:szCs w:val="20"/>
        <w:lang w:val="fr-FR" w:eastAsia="en-US" w:bidi="ar-SA"/>
      </w:rPr>
    </w:lvl>
    <w:lvl w:ilvl="1" w:tplc="2C28450E">
      <w:numFmt w:val="bullet"/>
      <w:lvlText w:val="-"/>
      <w:lvlJc w:val="left"/>
      <w:pPr>
        <w:ind w:left="1188" w:hanging="361"/>
      </w:pPr>
      <w:rPr>
        <w:rFonts w:ascii="Arial MT" w:eastAsia="Arial MT" w:hAnsi="Arial MT" w:cs="Arial MT" w:hint="default"/>
        <w:b w:val="0"/>
        <w:bCs w:val="0"/>
        <w:i w:val="0"/>
        <w:iCs w:val="0"/>
        <w:spacing w:val="0"/>
        <w:w w:val="99"/>
        <w:sz w:val="20"/>
        <w:szCs w:val="20"/>
        <w:lang w:val="fr-FR" w:eastAsia="en-US" w:bidi="ar-SA"/>
      </w:rPr>
    </w:lvl>
    <w:lvl w:ilvl="2" w:tplc="79A88B00">
      <w:numFmt w:val="bullet"/>
      <w:lvlText w:val="•"/>
      <w:lvlJc w:val="left"/>
      <w:pPr>
        <w:ind w:left="2241" w:hanging="361"/>
      </w:pPr>
      <w:rPr>
        <w:rFonts w:hint="default"/>
        <w:lang w:val="fr-FR" w:eastAsia="en-US" w:bidi="ar-SA"/>
      </w:rPr>
    </w:lvl>
    <w:lvl w:ilvl="3" w:tplc="12FCB712">
      <w:numFmt w:val="bullet"/>
      <w:lvlText w:val="•"/>
      <w:lvlJc w:val="left"/>
      <w:pPr>
        <w:ind w:left="3302" w:hanging="361"/>
      </w:pPr>
      <w:rPr>
        <w:rFonts w:hint="default"/>
        <w:lang w:val="fr-FR" w:eastAsia="en-US" w:bidi="ar-SA"/>
      </w:rPr>
    </w:lvl>
    <w:lvl w:ilvl="4" w:tplc="D0980322">
      <w:numFmt w:val="bullet"/>
      <w:lvlText w:val="•"/>
      <w:lvlJc w:val="left"/>
      <w:pPr>
        <w:ind w:left="4364" w:hanging="361"/>
      </w:pPr>
      <w:rPr>
        <w:rFonts w:hint="default"/>
        <w:lang w:val="fr-FR" w:eastAsia="en-US" w:bidi="ar-SA"/>
      </w:rPr>
    </w:lvl>
    <w:lvl w:ilvl="5" w:tplc="773EFB28">
      <w:numFmt w:val="bullet"/>
      <w:lvlText w:val="•"/>
      <w:lvlJc w:val="left"/>
      <w:pPr>
        <w:ind w:left="5425" w:hanging="361"/>
      </w:pPr>
      <w:rPr>
        <w:rFonts w:hint="default"/>
        <w:lang w:val="fr-FR" w:eastAsia="en-US" w:bidi="ar-SA"/>
      </w:rPr>
    </w:lvl>
    <w:lvl w:ilvl="6" w:tplc="F0F694BE">
      <w:numFmt w:val="bullet"/>
      <w:lvlText w:val="•"/>
      <w:lvlJc w:val="left"/>
      <w:pPr>
        <w:ind w:left="6486" w:hanging="361"/>
      </w:pPr>
      <w:rPr>
        <w:rFonts w:hint="default"/>
        <w:lang w:val="fr-FR" w:eastAsia="en-US" w:bidi="ar-SA"/>
      </w:rPr>
    </w:lvl>
    <w:lvl w:ilvl="7" w:tplc="B87E3E62">
      <w:numFmt w:val="bullet"/>
      <w:lvlText w:val="•"/>
      <w:lvlJc w:val="left"/>
      <w:pPr>
        <w:ind w:left="7548" w:hanging="361"/>
      </w:pPr>
      <w:rPr>
        <w:rFonts w:hint="default"/>
        <w:lang w:val="fr-FR" w:eastAsia="en-US" w:bidi="ar-SA"/>
      </w:rPr>
    </w:lvl>
    <w:lvl w:ilvl="8" w:tplc="A4086BC4">
      <w:numFmt w:val="bullet"/>
      <w:lvlText w:val="•"/>
      <w:lvlJc w:val="left"/>
      <w:pPr>
        <w:ind w:left="8609" w:hanging="361"/>
      </w:pPr>
      <w:rPr>
        <w:rFonts w:hint="default"/>
        <w:lang w:val="fr-FR" w:eastAsia="en-US" w:bidi="ar-SA"/>
      </w:rPr>
    </w:lvl>
  </w:abstractNum>
  <w:abstractNum w:abstractNumId="7" w15:restartNumberingAfterBreak="0">
    <w:nsid w:val="4B3902D7"/>
    <w:multiLevelType w:val="multilevel"/>
    <w:tmpl w:val="26945DBE"/>
    <w:lvl w:ilvl="0">
      <w:start w:val="4"/>
      <w:numFmt w:val="decimal"/>
      <w:lvlText w:val="%1"/>
      <w:lvlJc w:val="left"/>
      <w:pPr>
        <w:ind w:left="467" w:hanging="360"/>
      </w:pPr>
      <w:rPr>
        <w:rFonts w:hint="default"/>
        <w:lang w:val="fr-FR" w:eastAsia="en-US" w:bidi="ar-SA"/>
      </w:rPr>
    </w:lvl>
    <w:lvl w:ilvl="1">
      <w:start w:val="1"/>
      <w:numFmt w:val="decimal"/>
      <w:lvlText w:val="%1.%2"/>
      <w:lvlJc w:val="left"/>
      <w:pPr>
        <w:ind w:left="467" w:hanging="360"/>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784" w:hanging="360"/>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991" w:hanging="360"/>
      </w:pPr>
      <w:rPr>
        <w:rFonts w:hint="default"/>
        <w:lang w:val="fr-FR" w:eastAsia="en-US" w:bidi="ar-SA"/>
      </w:rPr>
    </w:lvl>
    <w:lvl w:ilvl="4">
      <w:numFmt w:val="bullet"/>
      <w:lvlText w:val="•"/>
      <w:lvlJc w:val="left"/>
      <w:pPr>
        <w:ind w:left="4097" w:hanging="360"/>
      </w:pPr>
      <w:rPr>
        <w:rFonts w:hint="default"/>
        <w:lang w:val="fr-FR" w:eastAsia="en-US" w:bidi="ar-SA"/>
      </w:rPr>
    </w:lvl>
    <w:lvl w:ilvl="5">
      <w:numFmt w:val="bullet"/>
      <w:lvlText w:val="•"/>
      <w:lvlJc w:val="left"/>
      <w:pPr>
        <w:ind w:left="5203" w:hanging="360"/>
      </w:pPr>
      <w:rPr>
        <w:rFonts w:hint="default"/>
        <w:lang w:val="fr-FR" w:eastAsia="en-US" w:bidi="ar-SA"/>
      </w:rPr>
    </w:lvl>
    <w:lvl w:ilvl="6">
      <w:numFmt w:val="bullet"/>
      <w:lvlText w:val="•"/>
      <w:lvlJc w:val="left"/>
      <w:pPr>
        <w:ind w:left="6308" w:hanging="360"/>
      </w:pPr>
      <w:rPr>
        <w:rFonts w:hint="default"/>
        <w:lang w:val="fr-FR" w:eastAsia="en-US" w:bidi="ar-SA"/>
      </w:rPr>
    </w:lvl>
    <w:lvl w:ilvl="7">
      <w:numFmt w:val="bullet"/>
      <w:lvlText w:val="•"/>
      <w:lvlJc w:val="left"/>
      <w:pPr>
        <w:ind w:left="7414" w:hanging="360"/>
      </w:pPr>
      <w:rPr>
        <w:rFonts w:hint="default"/>
        <w:lang w:val="fr-FR" w:eastAsia="en-US" w:bidi="ar-SA"/>
      </w:rPr>
    </w:lvl>
    <w:lvl w:ilvl="8">
      <w:numFmt w:val="bullet"/>
      <w:lvlText w:val="•"/>
      <w:lvlJc w:val="left"/>
      <w:pPr>
        <w:ind w:left="8520" w:hanging="360"/>
      </w:pPr>
      <w:rPr>
        <w:rFonts w:hint="default"/>
        <w:lang w:val="fr-FR" w:eastAsia="en-US" w:bidi="ar-SA"/>
      </w:rPr>
    </w:lvl>
  </w:abstractNum>
  <w:abstractNum w:abstractNumId="8" w15:restartNumberingAfterBreak="0">
    <w:nsid w:val="79C12199"/>
    <w:multiLevelType w:val="multilevel"/>
    <w:tmpl w:val="22E050F4"/>
    <w:lvl w:ilvl="0">
      <w:start w:val="1"/>
      <w:numFmt w:val="decimal"/>
      <w:lvlText w:val="%1"/>
      <w:lvlJc w:val="left"/>
      <w:pPr>
        <w:ind w:left="467" w:hanging="360"/>
      </w:pPr>
      <w:rPr>
        <w:rFonts w:hint="default"/>
        <w:lang w:val="fr-FR" w:eastAsia="en-US" w:bidi="ar-SA"/>
      </w:rPr>
    </w:lvl>
    <w:lvl w:ilvl="1">
      <w:start w:val="1"/>
      <w:numFmt w:val="decimal"/>
      <w:lvlText w:val="%1.%2"/>
      <w:lvlJc w:val="left"/>
      <w:pPr>
        <w:ind w:left="467" w:hanging="360"/>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815" w:hanging="348"/>
      </w:pPr>
      <w:rPr>
        <w:rFonts w:ascii="Arial" w:eastAsia="Arial" w:hAnsi="Arial" w:cs="Arial" w:hint="default"/>
        <w:b/>
        <w:bCs/>
        <w:i w:val="0"/>
        <w:iCs w:val="0"/>
        <w:spacing w:val="0"/>
        <w:w w:val="99"/>
        <w:sz w:val="20"/>
        <w:szCs w:val="20"/>
        <w:lang w:val="fr-FR" w:eastAsia="en-US" w:bidi="ar-SA"/>
      </w:rPr>
    </w:lvl>
    <w:lvl w:ilvl="3">
      <w:numFmt w:val="bullet"/>
      <w:lvlText w:val="•"/>
      <w:lvlJc w:val="left"/>
      <w:pPr>
        <w:ind w:left="3022" w:hanging="348"/>
      </w:pPr>
      <w:rPr>
        <w:rFonts w:hint="default"/>
        <w:lang w:val="fr-FR" w:eastAsia="en-US" w:bidi="ar-SA"/>
      </w:rPr>
    </w:lvl>
    <w:lvl w:ilvl="4">
      <w:numFmt w:val="bullet"/>
      <w:lvlText w:val="•"/>
      <w:lvlJc w:val="left"/>
      <w:pPr>
        <w:ind w:left="4124" w:hanging="348"/>
      </w:pPr>
      <w:rPr>
        <w:rFonts w:hint="default"/>
        <w:lang w:val="fr-FR" w:eastAsia="en-US" w:bidi="ar-SA"/>
      </w:rPr>
    </w:lvl>
    <w:lvl w:ilvl="5">
      <w:numFmt w:val="bullet"/>
      <w:lvlText w:val="•"/>
      <w:lvlJc w:val="left"/>
      <w:pPr>
        <w:ind w:left="5225" w:hanging="348"/>
      </w:pPr>
      <w:rPr>
        <w:rFonts w:hint="default"/>
        <w:lang w:val="fr-FR" w:eastAsia="en-US" w:bidi="ar-SA"/>
      </w:rPr>
    </w:lvl>
    <w:lvl w:ilvl="6">
      <w:numFmt w:val="bullet"/>
      <w:lvlText w:val="•"/>
      <w:lvlJc w:val="left"/>
      <w:pPr>
        <w:ind w:left="6326" w:hanging="348"/>
      </w:pPr>
      <w:rPr>
        <w:rFonts w:hint="default"/>
        <w:lang w:val="fr-FR" w:eastAsia="en-US" w:bidi="ar-SA"/>
      </w:rPr>
    </w:lvl>
    <w:lvl w:ilvl="7">
      <w:numFmt w:val="bullet"/>
      <w:lvlText w:val="•"/>
      <w:lvlJc w:val="left"/>
      <w:pPr>
        <w:ind w:left="7428" w:hanging="348"/>
      </w:pPr>
      <w:rPr>
        <w:rFonts w:hint="default"/>
        <w:lang w:val="fr-FR" w:eastAsia="en-US" w:bidi="ar-SA"/>
      </w:rPr>
    </w:lvl>
    <w:lvl w:ilvl="8">
      <w:numFmt w:val="bullet"/>
      <w:lvlText w:val="•"/>
      <w:lvlJc w:val="left"/>
      <w:pPr>
        <w:ind w:left="8529" w:hanging="348"/>
      </w:pPr>
      <w:rPr>
        <w:rFonts w:hint="default"/>
        <w:lang w:val="fr-FR" w:eastAsia="en-US" w:bidi="ar-SA"/>
      </w:rPr>
    </w:lvl>
  </w:abstractNum>
  <w:num w:numId="1">
    <w:abstractNumId w:val="6"/>
  </w:num>
  <w:num w:numId="2">
    <w:abstractNumId w:val="7"/>
  </w:num>
  <w:num w:numId="3">
    <w:abstractNumId w:val="3"/>
  </w:num>
  <w:num w:numId="4">
    <w:abstractNumId w:val="5"/>
  </w:num>
  <w:num w:numId="5">
    <w:abstractNumId w:val="4"/>
  </w:num>
  <w:num w:numId="6">
    <w:abstractNumId w:val="8"/>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DD72F5-4C19-4B45-9219-B77F6806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rFonts w:ascii="Arial" w:eastAsia="Arial" w:hAnsi="Arial" w:cs="Arial"/>
      <w:b/>
      <w:bCs/>
      <w:sz w:val="24"/>
      <w:szCs w:val="2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MT" w:eastAsia="Arial MT" w:hAnsi="Arial MT" w:cs="Arial MT"/>
      <w:b/>
      <w:bCs/>
      <w:sz w:val="20"/>
      <w:szCs w:val="20"/>
      <w:lang w:val="fr-FR"/>
    </w:rPr>
  </w:style>
  <w:style w:type="paragraph" w:styleId="Rvision">
    <w:name w:val="Revision"/>
    <w:hidden/>
    <w:uiPriority w:val="99"/>
    <w:semiHidden/>
    <w:pPr>
      <w:widowControl/>
      <w:autoSpaceDE/>
      <w:autoSpaceDN/>
    </w:pPr>
    <w:rPr>
      <w:rFonts w:ascii="Arial MT" w:eastAsia="Arial MT" w:hAnsi="Arial MT" w:cs="Arial MT"/>
      <w:lang w:val="fr-FR"/>
    </w:rPr>
  </w:style>
  <w:style w:type="paragraph" w:styleId="NormalWeb">
    <w:name w:val="Normal (Web)"/>
    <w:basedOn w:val="Normal"/>
    <w:uiPriority w:val="99"/>
    <w:semiHidden/>
    <w:unhideWhenUsed/>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table" w:styleId="Grilledutableau">
    <w:name w:val="Table Grid"/>
    <w:basedOn w:val="TableauNormal"/>
    <w:uiPriority w:val="39"/>
    <w:pPr>
      <w:widowControl/>
      <w:autoSpaceDE/>
      <w:autoSpaceDN/>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6664">
      <w:bodyDiv w:val="1"/>
      <w:marLeft w:val="0"/>
      <w:marRight w:val="0"/>
      <w:marTop w:val="0"/>
      <w:marBottom w:val="0"/>
      <w:divBdr>
        <w:top w:val="none" w:sz="0" w:space="0" w:color="auto"/>
        <w:left w:val="none" w:sz="0" w:space="0" w:color="auto"/>
        <w:bottom w:val="none" w:sz="0" w:space="0" w:color="auto"/>
        <w:right w:val="none" w:sz="0" w:space="0" w:color="auto"/>
      </w:divBdr>
    </w:div>
    <w:div w:id="207453962">
      <w:bodyDiv w:val="1"/>
      <w:marLeft w:val="0"/>
      <w:marRight w:val="0"/>
      <w:marTop w:val="0"/>
      <w:marBottom w:val="0"/>
      <w:divBdr>
        <w:top w:val="none" w:sz="0" w:space="0" w:color="auto"/>
        <w:left w:val="none" w:sz="0" w:space="0" w:color="auto"/>
        <w:bottom w:val="none" w:sz="0" w:space="0" w:color="auto"/>
        <w:right w:val="none" w:sz="0" w:space="0" w:color="auto"/>
      </w:divBdr>
    </w:div>
    <w:div w:id="536162389">
      <w:bodyDiv w:val="1"/>
      <w:marLeft w:val="0"/>
      <w:marRight w:val="0"/>
      <w:marTop w:val="0"/>
      <w:marBottom w:val="0"/>
      <w:divBdr>
        <w:top w:val="none" w:sz="0" w:space="0" w:color="auto"/>
        <w:left w:val="none" w:sz="0" w:space="0" w:color="auto"/>
        <w:bottom w:val="none" w:sz="0" w:space="0" w:color="auto"/>
        <w:right w:val="none" w:sz="0" w:space="0" w:color="auto"/>
      </w:divBdr>
    </w:div>
    <w:div w:id="1686245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595</Words>
  <Characters>3277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MAÎTRE</dc:creator>
  <cp:lastModifiedBy>OBERTO Vincent</cp:lastModifiedBy>
  <cp:revision>12</cp:revision>
  <dcterms:created xsi:type="dcterms:W3CDTF">2026-01-22T18:12:00Z</dcterms:created>
  <dcterms:modified xsi:type="dcterms:W3CDTF">2026-02-02T14:31:00Z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2020-11-23T00:00:00Z</vt:filetime>
  </property>
  <property fmtid="{D5CDD505-2E9C-101B-9397-08002B2CF9AE}" pid="3" name="Creator">
    <vt:lpwstr>Microsoft® Word 2013</vt:lpwstr>
  </property>
  <property fmtid="{D5CDD505-2E9C-101B-9397-08002B2CF9AE}" pid="4" name="LastSaved">
    <vt:filetime>2025-12-08T00:00:00Z</vt:filetime>
  </property>
  <property fmtid="{D5CDD505-2E9C-101B-9397-08002B2CF9AE}" pid="5" name="Producer">
    <vt:lpwstr>Microsoft® Word 2013</vt:lpwstr>
  </property>
</Properties>
</file>